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F5C7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附件1：</w:t>
      </w:r>
    </w:p>
    <w:p w14:paraId="129E8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年度淮南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市属部分公立医院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公开招聘硕士研究生及以上人员岗位计划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表</w:t>
      </w:r>
    </w:p>
    <w:tbl>
      <w:tblPr>
        <w:tblStyle w:val="4"/>
        <w:tblpPr w:leftFromText="180" w:rightFromText="180" w:vertAnchor="text" w:horzAnchor="page" w:tblpXSpec="center" w:tblpY="819"/>
        <w:tblOverlap w:val="never"/>
        <w:tblW w:w="15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5"/>
        <w:gridCol w:w="3345"/>
        <w:gridCol w:w="851"/>
        <w:gridCol w:w="2207"/>
        <w:gridCol w:w="1565"/>
        <w:gridCol w:w="1459"/>
        <w:gridCol w:w="4065"/>
      </w:tblGrid>
      <w:tr w14:paraId="39A4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12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D6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21D18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244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AE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6705A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87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F8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3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DA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CC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1B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淮南市精神病医院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9A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2C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7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83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2F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2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A3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8B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53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26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01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7195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39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C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精神病与精神卫生学（100205）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8D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C4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学硕；需取得医师执业证，执业范围为精神卫生专业</w:t>
            </w:r>
          </w:p>
        </w:tc>
      </w:tr>
      <w:tr w14:paraId="0F3A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4A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DC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CA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64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A5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33DD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AE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淮南市妇幼保健院（淮南市儿童医院）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2A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7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2F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74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9A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需取得皮肤病与性病学方向的规培证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执业证</w:t>
            </w:r>
          </w:p>
        </w:tc>
      </w:tr>
      <w:tr w14:paraId="3867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D7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F6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E9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  <w:p w14:paraId="3E9271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(105102)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FD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A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AB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FF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4220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A9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04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46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  <w:p w14:paraId="47F981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（105704）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24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27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FB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59BF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0A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44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5D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</w:t>
            </w:r>
          </w:p>
          <w:p w14:paraId="5F480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(105105)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AF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D1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81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 w14:paraId="6E7D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AA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上海中医药大学附属曙光医院淮南医院（淮南市中医院）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9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31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D6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D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9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DBF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DA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专硕（肛肠方向）</w:t>
            </w:r>
          </w:p>
        </w:tc>
      </w:tr>
      <w:tr w14:paraId="782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00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35F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72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D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D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6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FB7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48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专硕（骨科方向）</w:t>
            </w:r>
          </w:p>
        </w:tc>
      </w:tr>
      <w:tr w14:paraId="268F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EF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F6C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40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F9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3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E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0F3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CD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专硕（普外科、泌尿外科方向）</w:t>
            </w:r>
          </w:p>
        </w:tc>
      </w:tr>
      <w:tr w14:paraId="55F3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33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640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E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105107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7F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7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7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59A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E0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1ACF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08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5E5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62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5D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2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C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61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1A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 w14:paraId="16C3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FC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519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43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中医学（105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68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E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B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22E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C5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 w14:paraId="2913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88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99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49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临床医学（10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FB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6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3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66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29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 w14:paraId="7BD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46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0F1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22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免疫学（100102）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81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48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A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86F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2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7028DDF">
      <w:pPr>
        <w:pStyle w:val="2"/>
        <w:rPr>
          <w:rFonts w:hint="eastAsia"/>
        </w:rPr>
      </w:pPr>
    </w:p>
    <w:p w14:paraId="3F666E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2026-05-29T08:18:31Z</dcterms:created>
  <dc:creator>Administrator</dc:creator>
  <cp:lastModifiedBy>Mr.黄</cp:lastModifiedBy>
  <dcterms:modified xsi:type="dcterms:W3CDTF">2026-05-29T08:18:49Z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eyJoZGlkIjoiMTYxZTMwYjJhZTlhY2QyZTJiNDJmZTk2YjZhMTU2NGQiLCJ1c2VySWQiOiIxMTQxNjk2MzgxIn0=</vt:lpwstr>
  </property>
  <property fmtid="{D5CDD505-2E9C-101B-9397-08002B2CF9AE}" pid="4" name="ICV">
    <vt:lpwstr>C87857D7194B46E28EFCA8D52DB34835_12</vt:lpwstr>
  </property>
</Properties>
</file>