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24D8D89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3E8AB02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项目名称：</w:t>
      </w:r>
    </w:p>
    <w:p w14:paraId="4011E0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采购项目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淮南市妇幼保健特殊食品</w:t>
            </w:r>
            <w:bookmarkStart w:id="7" w:name="_GoBack"/>
            <w:bookmarkEnd w:id="7"/>
            <w:r>
              <w:rPr>
                <w:rFonts w:hint="eastAsia" w:ascii="微软雅黑" w:hAnsi="微软雅黑" w:eastAsia="微软雅黑" w:cs="微软雅黑"/>
                <w:b/>
                <w:bCs/>
                <w:i w:val="0"/>
                <w:iCs w:val="0"/>
                <w:color w:val="000000"/>
                <w:kern w:val="0"/>
                <w:sz w:val="36"/>
                <w:szCs w:val="36"/>
                <w:u w:val="none"/>
                <w:lang w:val="en-US" w:eastAsia="zh-CN" w:bidi="ar"/>
              </w:rPr>
              <w:t>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1EAE518C"/>
    <w:rsid w:val="35131C60"/>
    <w:rsid w:val="3A245A9A"/>
    <w:rsid w:val="3CB67B95"/>
    <w:rsid w:val="4603463C"/>
    <w:rsid w:val="4C111A52"/>
    <w:rsid w:val="4EEA406D"/>
    <w:rsid w:val="5AB845DE"/>
    <w:rsid w:val="73CC4488"/>
    <w:rsid w:val="77464D40"/>
    <w:rsid w:val="7AE87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1419</Words>
  <Characters>1515</Characters>
  <Lines>1</Lines>
  <Paragraphs>1</Paragraphs>
  <TotalTime>0</TotalTime>
  <ScaleCrop>false</ScaleCrop>
  <LinksUpToDate>false</LinksUpToDate>
  <CharactersWithSpaces>1838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陈</cp:lastModifiedBy>
  <cp:lastPrinted>2023-07-20T06:29:00Z</cp:lastPrinted>
  <dcterms:modified xsi:type="dcterms:W3CDTF">2026-02-25T00:39:23Z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72A1A2F984C244C1ACCE23CC3A709196_12</vt:lpwstr>
  </property>
  <property fmtid="{D5CDD505-2E9C-101B-9397-08002B2CF9AE}" pid="4" name="KSOTemplateDocerSaveRecord">
    <vt:lpwstr>eyJoZGlkIjoiYmYyYWU1OWI4ZWZiMTZhOTU4OWQ0MDM0NjNjY2Q4NDUiLCJ1c2VySWQiOiIzMDcwNzE4NjgifQ==</vt:lpwstr>
  </property>
</Properties>
</file>